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00"/>
      </w:tblGrid>
      <w:tr w:rsidR="001265B7" w:rsidRP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[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다시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주목받는</w:t>
            </w:r>
            <w:proofErr w:type="spellEnd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MDM</w:t>
            </w:r>
            <w:proofErr w:type="spellEnd"/>
            <w:r w:rsidRPr="001265B7">
              <w:rPr>
                <w:rFonts w:ascii="바탕" w:eastAsia="바탕" w:hAnsi="바탕" w:cs="바탕"/>
                <w:b/>
                <w:bCs/>
                <w:color w:val="000000"/>
                <w:kern w:val="0"/>
                <w:sz w:val="36"/>
                <w:szCs w:val="36"/>
              </w:rPr>
              <w:t>①</w:t>
            </w:r>
            <w:r w:rsidRPr="001265B7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]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글로벌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경영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기준정보에서</w:t>
            </w:r>
            <w:proofErr w:type="spellEnd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시작한다</w:t>
            </w:r>
          </w:p>
        </w:tc>
      </w:tr>
      <w:tr w:rsidR="001265B7" w:rsidRP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</w:pP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글로벌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proofErr w:type="spellStart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ERP</w:t>
            </w:r>
            <w:proofErr w:type="spellEnd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, </w:t>
            </w:r>
            <w:proofErr w:type="spellStart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SCM</w:t>
            </w:r>
            <w:proofErr w:type="spellEnd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고도화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, </w:t>
            </w:r>
            <w:proofErr w:type="spellStart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기업인수합병으로</w:t>
            </w:r>
            <w:proofErr w:type="spellEnd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새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proofErr w:type="spellStart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기준정보체계</w:t>
            </w:r>
            <w:proofErr w:type="spellEnd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필요성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대두</w:t>
            </w:r>
          </w:p>
        </w:tc>
      </w:tr>
      <w:tr w:rsidR="001265B7" w:rsidRPr="001265B7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8"/>
                <w:szCs w:val="18"/>
              </w:rPr>
            </w:pPr>
          </w:p>
        </w:tc>
      </w:tr>
      <w:tr w:rsidR="001265B7" w:rsidRP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4950"/>
              <w:gridCol w:w="3540"/>
              <w:gridCol w:w="210"/>
            </w:tblGrid>
            <w:tr w:rsidR="001265B7" w:rsidRPr="001265B7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1" name="그림 1" descr="http://www.ciobiz.co.kr/image2006/default/newsdaybox_to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iobiz.co.kr/image2006/default/newsdaybox_to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 xml:space="preserve">2010년 07월 18일 (일) </w:t>
                  </w:r>
                  <w:proofErr w:type="gramStart"/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21:45:40  </w:t>
                  </w:r>
                  <w:proofErr w:type="gramEnd"/>
                  <w:r>
                    <w:rPr>
                      <w:rFonts w:ascii="돋움" w:eastAsia="돋움" w:hAnsi="돋움" w:cs="굴림"/>
                      <w:noProof/>
                      <w:color w:val="0000FF"/>
                      <w:kern w:val="0"/>
                      <w:sz w:val="16"/>
                      <w:szCs w:val="16"/>
                    </w:rPr>
                    <w:drawing>
                      <wp:inline distT="0" distB="0" distL="0" distR="0">
                        <wp:extent cx="561975" cy="142875"/>
                        <wp:effectExtent l="19050" t="0" r="9525" b="0"/>
                        <wp:docPr id="2" name="그림 2" descr="http://www.ciobiz.co.kr/box/box_news/ico_pdf02.gif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iobiz.co.kr/box/box_news/ico_pdf02.gif">
                                  <a:hlinkClick r:id="rId6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righ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proofErr w:type="spellStart"/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박현선기자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6"/>
                      <w:szCs w:val="16"/>
                    </w:rPr>
                    <w:t xml:space="preserve"> </w:t>
                  </w:r>
                  <w:hyperlink r:id="rId8" w:history="1">
                    <w:r>
                      <w:rPr>
                        <w:rFonts w:ascii="Verdana" w:eastAsia="굴림" w:hAnsi="Verdana" w:cs="굴림"/>
                        <w:noProof/>
                        <w:color w:val="0000FF"/>
                        <w:kern w:val="0"/>
                        <w:sz w:val="16"/>
                        <w:szCs w:val="16"/>
                      </w:rPr>
                      <w:drawing>
                        <wp:inline distT="0" distB="0" distL="0" distR="0">
                          <wp:extent cx="104775" cy="85725"/>
                          <wp:effectExtent l="19050" t="0" r="9525" b="0"/>
                          <wp:docPr id="3" name="그림 3" descr="http://www.ciobiz.co.kr/image2006/default/btn_sendmail.gif">
                            <a:hlinkClick xmlns:a="http://schemas.openxmlformats.org/drawingml/2006/main" r:id="rId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www.ciobiz.co.kr/image2006/default/btn_sendmail.gif">
                                    <a:hlinkClick r:id="rId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1265B7">
                      <w:rPr>
                        <w:rFonts w:ascii="Arial" w:eastAsia="굴림" w:hAnsi="Arial" w:cs="Arial"/>
                        <w:color w:val="666666"/>
                        <w:kern w:val="0"/>
                        <w:sz w:val="16"/>
                      </w:rPr>
                      <w:t>hspark@etnews.co.kr</w:t>
                    </w:r>
                    <w:proofErr w:type="spellEnd"/>
                  </w:hyperlink>
                </w:p>
              </w:tc>
              <w:tc>
                <w:tcPr>
                  <w:tcW w:w="75" w:type="dxa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4" name="그림 4" descr="http://www.ciobiz.co.kr/image2006/default/newsdaybox_d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iobiz.co.kr/image2006/default/newsdaybox_d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</w:p>
        </w:tc>
      </w:tr>
      <w:tr w:rsidR="001265B7" w:rsidRPr="001265B7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</w:p>
        </w:tc>
      </w:tr>
      <w:tr w:rsidR="001265B7" w:rsidRP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"/>
              <w:gridCol w:w="600"/>
            </w:tblGrid>
            <w:tr w:rsidR="001265B7" w:rsidRPr="001265B7" w:rsidTr="001265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pict/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pict/>
                  </w:r>
                </w:p>
              </w:tc>
            </w:tr>
          </w:tbl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한동안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조용했던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기준정보관리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(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)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업계가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들썩거리고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삼성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전자가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움직이고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삼성전자뿐이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LG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이노텍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삼성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SDI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체계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수립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계획을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잡고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전사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프로세스에서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같은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용어를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같은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의미로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사용해야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요구가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높아지고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최근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관심은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글로벌싱글인스턴스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(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)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전사적자원관리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(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)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시스템을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구축했거나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사이에서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빠르게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확산되고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핵심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시스템을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만큼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기준정보들의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유효성이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떨어지기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최근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규모의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경제를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인수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합병을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반복해온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기업들은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흡수한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회사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들마다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제각각인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통합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회사의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관점에서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재수립해야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과제에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직면해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LG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전자와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LG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디스플레이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현대자동차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비교적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일찍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ERP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작업으로서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MDM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프로젝트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진행했으며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선행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작업이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없었더라면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구현이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더욱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걸렸을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것이라고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전문가들은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“1, 2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관심을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끌었던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어렵거나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MDM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프로젝트로서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성공한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사례는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어렵다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시행착오를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되풀이하지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위해서는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철저하게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비즈니스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관점에서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접근해야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조언한다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무엇보다도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거버넌스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체계가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수립되어야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어떤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가치가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내용과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가치를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이해하는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사람이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오너십을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가져야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지적이다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“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수익과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매출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상승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인수합병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시너지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비용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절감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운용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효율성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리스크관리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증진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규제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비즈니스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목표를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달성하는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반드시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필요한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요소다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.”-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래드클리프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가트너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분석가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단일한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글로벌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비즈니스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트랜스포메이션을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핵심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요소다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실시간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접근은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사업부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조직과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지역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시스템의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경계를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넘어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넓은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시각에서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해주고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시스템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효과를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높이며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새로운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시스템의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가치를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더욱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빠르게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구현할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있도록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해준다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.”-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마크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존슨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크래프트푸드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디렉터</w:t>
            </w:r>
            <w:proofErr w:type="spellEnd"/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폭증하는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볼륨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복잡한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마이그레이션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실시간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비정형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기술의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오늘날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기업들의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고민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증가하고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이러한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고민을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해결하는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서비스와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엔터프라이즈서비스버스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(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ESB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),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그리고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여전히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폭넓게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적용되고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있으며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성숙하고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.”-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노엘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유하나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포레스터리서치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분석가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중요성은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두말할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필요도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없다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그러나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최근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들어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세계적인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시장조사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및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분석기관과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유수의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컨설팅업체들이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중요성을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강조하고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사실에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주목해야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lastRenderedPageBreak/>
              <w:t>국내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상황도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마찬가지다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 2007~2008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IT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업계를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뜨겁게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달궜던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MDM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2009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들어서면서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흔적도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찾아보기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어렵다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그러나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삼성전자가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추진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중이라는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소식이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알려지면서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업계는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파급효과에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주목하고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전사적으로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추진하거나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고도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작업을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검토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기업들은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부류로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나눌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Cambria Math" w:eastAsia="굴림" w:hAnsi="Cambria Math" w:cs="Cambria Math"/>
                <w:color w:val="222222"/>
                <w:kern w:val="0"/>
                <w:sz w:val="21"/>
                <w:szCs w:val="21"/>
              </w:rPr>
              <w:t>△</w:t>
            </w:r>
            <w:proofErr w:type="spellStart"/>
            <w:r w:rsidRPr="001265B7">
              <w:rPr>
                <w:rFonts w:ascii="Times New Roman" w:eastAsia="굴림" w:hAnsi="Times New Roman" w:cs="Times New Roman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Times New Roman" w:eastAsia="굴림" w:hAnsi="Times New Roman" w:cs="Times New Roman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Times New Roman" w:eastAsia="굴림" w:hAnsi="Times New Roman" w:cs="Times New Roman"/>
                <w:color w:val="222222"/>
                <w:kern w:val="0"/>
                <w:sz w:val="21"/>
                <w:szCs w:val="21"/>
              </w:rPr>
              <w:t>ERP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구축했거나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검토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Cambria Math" w:eastAsia="굴림" w:hAnsi="Cambria Math" w:cs="Cambria Math"/>
                <w:color w:val="222222"/>
                <w:kern w:val="0"/>
                <w:sz w:val="21"/>
                <w:szCs w:val="21"/>
              </w:rPr>
              <w:t>△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SCM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고도화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따라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연관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시스템과의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연동을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고민하는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Cambria Math" w:eastAsia="굴림" w:hAnsi="Cambria Math" w:cs="Cambria Math"/>
                <w:color w:val="222222"/>
                <w:kern w:val="0"/>
                <w:sz w:val="21"/>
                <w:szCs w:val="21"/>
              </w:rPr>
              <w:t>△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인수합병에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따라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서로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다른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회사들의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다중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갖고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그것이다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바탕" w:eastAsia="바탕" w:hAnsi="바탕" w:cs="바탕"/>
                <w:b/>
                <w:bCs/>
                <w:color w:val="222222"/>
                <w:kern w:val="0"/>
                <w:sz w:val="21"/>
              </w:rPr>
              <w:t>◇</w:t>
            </w:r>
            <w:proofErr w:type="spellStart"/>
            <w:r w:rsidRPr="001265B7">
              <w:rPr>
                <w:rFonts w:ascii="Times New Roman" w:eastAsia="굴림" w:hAnsi="Times New Roman" w:cs="Times New Roman"/>
                <w:b/>
                <w:bCs/>
                <w:color w:val="222222"/>
                <w:kern w:val="0"/>
                <w:sz w:val="21"/>
              </w:rPr>
              <w:t>GSI</w:t>
            </w:r>
            <w:proofErr w:type="spellEnd"/>
            <w:r w:rsidRPr="001265B7">
              <w:rPr>
                <w:rFonts w:ascii="Times New Roman" w:eastAsia="굴림" w:hAnsi="Times New Roman" w:cs="Times New Roman"/>
                <w:b/>
                <w:bCs/>
                <w:color w:val="222222"/>
                <w:kern w:val="0"/>
                <w:sz w:val="21"/>
              </w:rPr>
              <w:t xml:space="preserve"> </w:t>
            </w:r>
            <w:proofErr w:type="spellStart"/>
            <w:r w:rsidRPr="001265B7">
              <w:rPr>
                <w:rFonts w:ascii="Times New Roman" w:eastAsia="굴림" w:hAnsi="Times New Roman" w:cs="Times New Roman"/>
                <w:b/>
                <w:bCs/>
                <w:color w:val="222222"/>
                <w:kern w:val="0"/>
                <w:sz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r w:rsidRPr="001265B7">
              <w:rPr>
                <w:rFonts w:ascii="gulim" w:eastAsia="굴림" w:hAnsi="gulim" w:cs="굴림"/>
                <w:b/>
                <w:bCs/>
                <w:color w:val="3D46A8"/>
                <w:kern w:val="0"/>
                <w:sz w:val="21"/>
                <w:u w:val="single"/>
              </w:rPr>
              <w:t>이후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기준정보</w:t>
            </w:r>
            <w:proofErr w:type="spellEnd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체계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재수립</w:t>
            </w:r>
            <w:proofErr w:type="spellEnd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필요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=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수요는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기업에게서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두드러진다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세계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법인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들의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경영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현황을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단일한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정보시스템에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보여주면서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해외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생산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및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판매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거점들이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제각각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사용하고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체계를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통일화할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필요가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함께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생겨난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물론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내에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모듈이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들어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도입한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기업들은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MDM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어느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구현하고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봐도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무방하다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세계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법인들이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공통의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입력의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필요성이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높아졌다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삼성전자의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경우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올해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구축했으며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MDM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검토하고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알려졌다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기존에는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자체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시스템을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사용하고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있었지만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연말까지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컨설팅을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받아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이르면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내년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패키지를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선정하고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시작할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회자되고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반면에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현대자동차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, LG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이노텍은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선행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작업으로서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MDM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추진하고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LG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이노텍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관계자는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시스템에서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시작되는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많긴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관점에서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50%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내외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라며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체계를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고도화하지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ERP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수행하면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ERP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반드시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수정하게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설명했다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 LG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이노텍은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6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월부터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태스크포스팀을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PI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그룹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내에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꾸리고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선정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사전작업을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실시하고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 5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~6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선정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및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유효성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전수검사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작업을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추진할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계획이다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현대자동차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역시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부분으로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추진하고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현대자동차는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8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월을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목표로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지난해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8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울산공장부터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시스템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시작했으며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세계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11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법인에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ERP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적용한다는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목표다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현대자동차는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함께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추진해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글로벌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공통기준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코드를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오픈되면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국내외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현대차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법인들은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정해진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글로벌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코드에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의해서만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자재명세서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(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BOM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)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입력하게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레거시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시스템에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대해서도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글로벌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공통기준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코드를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동일하게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적용시켰다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진행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중이고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입력되는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새로운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입력하면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되지만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레거시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시스템과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상상을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초월한다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 2001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년부터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누적된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현대차의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BOM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3000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만건이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훌쩍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넘는다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어마어마한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분량의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BOM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그동안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법인마다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다른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입력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왔다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이러한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레거시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애플리케이션의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데이터들도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새로운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따라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입력되어야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나아가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공장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생산법인뿐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아니라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판매법인에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대해서도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엄격히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요구될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보인다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차량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딜러나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구매처에서도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국내외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차량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글로벌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차량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마스터에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입력해야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현대차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측은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선행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작업돼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ERP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lastRenderedPageBreak/>
              <w:t>프로젝트를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지원했다고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봐야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없었더라면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작업에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시간이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걸렸을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이라고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  </w:t>
            </w:r>
          </w:p>
          <w:tbl>
            <w:tblPr>
              <w:tblW w:w="826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"/>
              <w:gridCol w:w="8010"/>
              <w:gridCol w:w="127"/>
            </w:tblGrid>
            <w:tr w:rsidR="001265B7" w:rsidRPr="001265B7" w:rsidTr="001265B7">
              <w:trPr>
                <w:tblCellSpacing w:w="0" w:type="dxa"/>
                <w:jc w:val="center"/>
              </w:trPr>
              <w:tc>
                <w:tcPr>
                  <w:tcW w:w="150" w:type="dxa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center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5057775" cy="4457700"/>
                        <wp:effectExtent l="19050" t="0" r="9525" b="0"/>
                        <wp:docPr id="7" name="그림 7" descr="http://www.ciobiz.co.kr/news/photo/201007/3017_4434_42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iobiz.co.kr/news/photo/201007/3017_4434_425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57775" cy="445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1265B7" w:rsidRPr="001265B7" w:rsidTr="001265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Verdana" w:eastAsia="굴림" w:hAnsi="Verdana" w:cs="굴림"/>
                      <w:color w:val="306F7F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우리새봄R" w:eastAsia="우리새봄R" w:hAnsi="우리새봄R" w:cs="굴림" w:hint="eastAsia"/>
                      <w:color w:val="666666"/>
                      <w:kern w:val="0"/>
                      <w:sz w:val="24"/>
                      <w:szCs w:val="24"/>
                    </w:rPr>
                    <w:t xml:space="preserve">2010년 </w:t>
                  </w:r>
                  <w:proofErr w:type="spellStart"/>
                  <w:r w:rsidRPr="001265B7">
                    <w:rPr>
                      <w:rFonts w:ascii="우리새봄R" w:eastAsia="우리새봄R" w:hAnsi="우리새봄R" w:cs="굴림" w:hint="eastAsia"/>
                      <w:color w:val="666666"/>
                      <w:kern w:val="0"/>
                      <w:sz w:val="24"/>
                      <w:szCs w:val="24"/>
                    </w:rPr>
                    <w:t>MDM</w:t>
                  </w:r>
                  <w:proofErr w:type="spellEnd"/>
                  <w:r w:rsidRPr="001265B7">
                    <w:rPr>
                      <w:rFonts w:ascii="우리새봄R" w:eastAsia="우리새봄R" w:hAnsi="우리새봄R" w:cs="굴림" w:hint="eastAsia"/>
                      <w:color w:val="666666"/>
                      <w:kern w:val="0"/>
                      <w:sz w:val="24"/>
                      <w:szCs w:val="24"/>
                    </w:rPr>
                    <w:t xml:space="preserve"> 프로젝트 추진하는 기업 유형과 배경   &lt;</w:t>
                  </w:r>
                  <w:proofErr w:type="gramStart"/>
                  <w:r w:rsidRPr="001265B7">
                    <w:rPr>
                      <w:rFonts w:ascii="우리새봄R" w:eastAsia="우리새봄R" w:hAnsi="우리새봄R" w:cs="굴림" w:hint="eastAsia"/>
                      <w:color w:val="666666"/>
                      <w:kern w:val="0"/>
                      <w:sz w:val="24"/>
                      <w:szCs w:val="24"/>
                    </w:rPr>
                    <w:t>자료 :</w:t>
                  </w:r>
                  <w:proofErr w:type="gramEnd"/>
                  <w:r w:rsidRPr="001265B7">
                    <w:rPr>
                      <w:rFonts w:ascii="우리새봄R" w:eastAsia="우리새봄R" w:hAnsi="우리새봄R" w:cs="굴림" w:hint="eastAsia"/>
                      <w:color w:val="666666"/>
                      <w:kern w:val="0"/>
                      <w:sz w:val="24"/>
                      <w:szCs w:val="24"/>
                    </w:rPr>
                    <w:t xml:space="preserve"> CIO BIZ+&gt;</w:t>
                  </w:r>
                </w:p>
              </w:tc>
            </w:tr>
          </w:tbl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바탕" w:eastAsia="바탕" w:hAnsi="바탕" w:cs="바탕"/>
                <w:b/>
                <w:bCs/>
                <w:color w:val="222222"/>
                <w:kern w:val="0"/>
                <w:sz w:val="21"/>
              </w:rPr>
              <w:t>◇</w:t>
            </w:r>
            <w:proofErr w:type="spellStart"/>
            <w:r w:rsidRPr="001265B7">
              <w:rPr>
                <w:rFonts w:ascii="Times New Roman" w:eastAsia="굴림" w:hAnsi="Times New Roman" w:cs="Times New Roman"/>
                <w:b/>
                <w:bCs/>
                <w:color w:val="222222"/>
                <w:kern w:val="0"/>
                <w:sz w:val="21"/>
              </w:rPr>
              <w:t>SCM</w:t>
            </w:r>
            <w:proofErr w:type="spellEnd"/>
            <w:r w:rsidRPr="001265B7">
              <w:rPr>
                <w:rFonts w:ascii="Times New Roman" w:eastAsia="굴림" w:hAnsi="Times New Roman" w:cs="Times New Roman"/>
                <w:b/>
                <w:bCs/>
                <w:color w:val="222222"/>
                <w:kern w:val="0"/>
                <w:sz w:val="21"/>
              </w:rPr>
              <w:t xml:space="preserve"> 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고도화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이후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연동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고민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=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포함해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업무시스템들과의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연동을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고민하는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역시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고민하고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첫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번째의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기업들이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내에서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세계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공통기준을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마련하는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경우에는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SCM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고도화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추진하면서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SCM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밀접한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관련이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와의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연동을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MDM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체계를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재수립하는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주문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-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-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공급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-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협력사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-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일련의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프로세스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상에서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SCM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고도화는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혹은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연동이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필수다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연동의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선정과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정보관리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체계의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재수립이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요구된다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삼성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SDI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해당된다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삼성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SDI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글로벌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SCM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추진하면서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5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비전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하나로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표준화된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정립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’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포함시켰다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삼성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SDI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2009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3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글로벌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SCM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시작했다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글로벌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경영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목표와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함께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Cambria Math" w:eastAsia="굴림" w:hAnsi="Cambria Math" w:cs="Cambria Math"/>
                <w:color w:val="222222"/>
                <w:kern w:val="0"/>
                <w:sz w:val="21"/>
                <w:szCs w:val="21"/>
              </w:rPr>
              <w:t>△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하나의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계획을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계획부터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생산까지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움직이는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‘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싱글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플랜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’ </w:t>
            </w:r>
            <w:r w:rsidRPr="001265B7">
              <w:rPr>
                <w:rFonts w:ascii="Cambria Math" w:eastAsia="굴림" w:hAnsi="Cambria Math" w:cs="Cambria Math"/>
                <w:color w:val="222222"/>
                <w:kern w:val="0"/>
                <w:sz w:val="21"/>
                <w:szCs w:val="21"/>
              </w:rPr>
              <w:t>△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일정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구간의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생산은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변경하지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‘3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확정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생산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’ </w:t>
            </w:r>
            <w:r w:rsidRPr="001265B7">
              <w:rPr>
                <w:rFonts w:ascii="Cambria Math" w:eastAsia="굴림" w:hAnsi="Cambria Math" w:cs="Cambria Math"/>
                <w:color w:val="222222"/>
                <w:kern w:val="0"/>
                <w:sz w:val="21"/>
                <w:szCs w:val="21"/>
              </w:rPr>
              <w:t>△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적시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생산과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적시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출하를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타임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마켓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’ </w:t>
            </w:r>
            <w:r w:rsidRPr="001265B7">
              <w:rPr>
                <w:rFonts w:ascii="Cambria Math" w:eastAsia="굴림" w:hAnsi="Cambria Math" w:cs="Cambria Math"/>
                <w:color w:val="222222"/>
                <w:kern w:val="0"/>
                <w:sz w:val="21"/>
                <w:szCs w:val="21"/>
              </w:rPr>
              <w:t>△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표준화된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lastRenderedPageBreak/>
              <w:t>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‘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’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정립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Cambria Math" w:eastAsia="굴림" w:hAnsi="Cambria Math" w:cs="Cambria Math"/>
                <w:color w:val="222222"/>
                <w:kern w:val="0"/>
                <w:sz w:val="21"/>
                <w:szCs w:val="21"/>
              </w:rPr>
              <w:t>△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시스템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경영을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‘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실물정보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일치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’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5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비전을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수립했다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글로벌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SCM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마무리된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추진하고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삼성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SDI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해외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8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법인과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7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사무소를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대상으로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ERP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상반기에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시작했으며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내년에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완료한다는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계획이다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내에서는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물론이고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SCM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프로세스가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연계되기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위해서는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체계가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필수다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바탕" w:eastAsia="바탕" w:hAnsi="바탕" w:cs="바탕"/>
                <w:b/>
                <w:bCs/>
                <w:color w:val="222222"/>
                <w:kern w:val="0"/>
                <w:sz w:val="21"/>
              </w:rPr>
              <w:t>◇</w:t>
            </w:r>
            <w:proofErr w:type="spellStart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인수합병</w:t>
            </w:r>
            <w:proofErr w:type="spellEnd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후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각사</w:t>
            </w:r>
            <w:proofErr w:type="spellEnd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기준정보</w:t>
            </w:r>
            <w:proofErr w:type="spellEnd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체계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재구축</w:t>
            </w:r>
            <w:proofErr w:type="spellEnd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=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요구되는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번째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부류의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최근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몇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사이에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인수합병과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분사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거치면서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규모와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부문이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재편된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경우다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활발한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인수합병으로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서로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다른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기준정보들을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갖고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통합하고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새로운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단일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체계의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필요성이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높아지고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 LG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이노텍은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GSI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ERP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구현과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함께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마이크론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인수에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따른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회사의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필요성을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느끼고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검토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인수합병을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서로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상이한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회사가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통일된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체계를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앞으로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더욱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확산될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보인다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밥캣을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인수한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두산인프라코어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KTF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인수하고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ERP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PI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KT, LG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데이콤과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LG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파워콤을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인수하고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LG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유플러스로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거듭난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LG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텔레콤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대규모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인수합병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(PMI)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작업을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수행하는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과정에서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새로운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필요성이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대두되기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외에도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통합을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고민하고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통합을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위해서는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품질관리와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선행되어야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전문가들은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지적한다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유효하지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명확하지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토대로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추진하기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위해서는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성과가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불투명하기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최근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공통된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특징은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중요성을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비즈니스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임원들이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중요한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인식하기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시작했다는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프로젝트와의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차별점이기도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우리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부서에서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발생한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과실이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실상은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다른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부서의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오류에서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비롯될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우리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부서의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오류가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도미노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효과를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일으킬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사실을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인식하고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컨설턴트들은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이구동성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규모나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도입한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애플리케이션이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아니라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조직과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프로세스가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성공을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가르는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거버넌스의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문제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라고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말한다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어떤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가치를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가지고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어떤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어떤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연동될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비즈니스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효과가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극대화되는지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알고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IT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담당자가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아니라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현업이다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전문가들은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주도권을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현업에서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꾸준한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품질관리를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성공할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조언한다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박현선기자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hspark@etnews.co.kr</w:t>
            </w:r>
            <w:proofErr w:type="spellEnd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10"/>
            </w:tblGrid>
            <w:tr w:rsidR="001265B7" w:rsidRPr="001265B7" w:rsidTr="001265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굴림" w:eastAsia="굴림" w:hAnsi="굴림" w:cs="굴림"/>
                      <w:b/>
                      <w:bCs/>
                      <w:color w:val="666666"/>
                      <w:kern w:val="0"/>
                      <w:sz w:val="18"/>
                    </w:rPr>
                    <w:t>◇</w:t>
                  </w:r>
                  <w:proofErr w:type="spellStart"/>
                  <w:r w:rsidRPr="001265B7">
                    <w:rPr>
                      <w:rFonts w:ascii="Verdana" w:eastAsia="굴림" w:hAnsi="Verdana" w:cs="Verdana"/>
                      <w:b/>
                      <w:bCs/>
                      <w:color w:val="666666"/>
                      <w:kern w:val="0"/>
                      <w:sz w:val="18"/>
                    </w:rPr>
                    <w:t>MDM</w:t>
                  </w:r>
                  <w:proofErr w:type="spellEnd"/>
                  <w:r w:rsidRPr="001265B7">
                    <w:rPr>
                      <w:rFonts w:ascii="Verdana" w:eastAsia="굴림" w:hAnsi="Verdana" w:cs="Verdana"/>
                      <w:b/>
                      <w:bCs/>
                      <w:color w:val="666666"/>
                      <w:kern w:val="0"/>
                      <w:sz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b/>
                      <w:bCs/>
                      <w:color w:val="666666"/>
                      <w:kern w:val="0"/>
                      <w:sz w:val="18"/>
                    </w:rPr>
                    <w:t>왜</w:t>
                  </w:r>
                  <w:r w:rsidRPr="001265B7">
                    <w:rPr>
                      <w:rFonts w:ascii="Verdana" w:eastAsia="굴림" w:hAnsi="Verdana" w:cs="굴림"/>
                      <w:b/>
                      <w:bCs/>
                      <w:color w:val="666666"/>
                      <w:kern w:val="0"/>
                      <w:sz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b/>
                      <w:bCs/>
                      <w:color w:val="666666"/>
                      <w:kern w:val="0"/>
                      <w:sz w:val="18"/>
                    </w:rPr>
                    <w:t>필요한가</w:t>
                  </w:r>
                </w:p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기업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업무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프로세스에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따라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필요한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데이터는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적시에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공급되고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올바른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의사결정을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위해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기업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데이터의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상호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연관성이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제공되어야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한다는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것은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당연하다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기업애플리케이션통합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(</w:t>
                  </w: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EAI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),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통합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ESB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서비스지향아키텍처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(</w:t>
                  </w: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SOA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)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등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전사적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애플리케이션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연동과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그에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따른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연동을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위한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기술은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쏟아져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나오고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있지만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문제는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기업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규모가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커질수록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데이터의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양과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각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규정하는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칼럼과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테이블이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너무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많다는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것이다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.</w:t>
                  </w:r>
                </w:p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글로벌기업의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경우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생산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부문에서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부품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코드만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해도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수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만개에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이른다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.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예를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들어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완제품에서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성능이나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기능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불량으로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고객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불만이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접수됐다면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완제품이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어떤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공장에서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어떤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설비에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의해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제조되었는지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등을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lastRenderedPageBreak/>
                    <w:t>조사해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불량의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원인을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찾아야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한다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.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불량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부품이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원인이라면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해당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부품을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어떤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공급업체가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언제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공급했는지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누가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구매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및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품질관리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담당자였는지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파악해야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한다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.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또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부품의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불량은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원천적인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것인지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아니면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수급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이후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적재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상태에서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관리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소홀로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인한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것일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수도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있다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.</w:t>
                  </w:r>
                </w:p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수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만개의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필드에서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연관성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있는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정보들을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파악하는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것도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쉽지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않은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일이다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.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모든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데이터의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상호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연동성은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사실상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불가능에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가깝다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MDM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이를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위해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나왔다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.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기준이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되는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정보를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선정하고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정보를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기준으로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애플리케이션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업무부서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연관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찾아내는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것이다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.</w:t>
                  </w:r>
                </w:p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이진우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투이컨설팅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부사장은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입력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표준을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정하고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지키면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되는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문제지만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표준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수립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이전의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또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인수합병된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기업의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등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이전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새로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추가되는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이미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다른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표준을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갖고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있을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때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그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많은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데이터를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표준에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맞춰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수정하는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것은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십수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년이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걸릴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수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있는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장기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프로젝트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”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라고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지적한다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.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이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때문에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기업들은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MDM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이라는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현실적인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방법을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택하고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있다</w:t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.</w:t>
                  </w:r>
                </w:p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proofErr w:type="spellStart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박현선기자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hyperlink r:id="rId12" w:history="1">
                    <w:proofErr w:type="spellStart"/>
                    <w:r w:rsidRPr="001265B7">
                      <w:rPr>
                        <w:rFonts w:ascii="Verdana" w:eastAsia="굴림" w:hAnsi="Verdana" w:cs="굴림"/>
                        <w:color w:val="0000FF"/>
                        <w:kern w:val="0"/>
                        <w:sz w:val="18"/>
                      </w:rPr>
                      <w:t>hspark@etnews</w:t>
                    </w:r>
                    <w:proofErr w:type="spellEnd"/>
                  </w:hyperlink>
                </w:p>
              </w:tc>
            </w:tr>
          </w:tbl>
          <w:p w:rsidR="001265B7" w:rsidRPr="001265B7" w:rsidRDefault="001265B7" w:rsidP="001265B7">
            <w:pPr>
              <w:widowControl/>
              <w:wordWrap/>
              <w:autoSpaceDE/>
              <w:autoSpaceDN/>
              <w:jc w:val="left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[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다시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주목받는</w:t>
            </w:r>
            <w:proofErr w:type="spellEnd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MDM</w:t>
            </w:r>
            <w:proofErr w:type="spellEnd"/>
            <w:r w:rsidRPr="001265B7">
              <w:rPr>
                <w:rFonts w:ascii="바탕" w:eastAsia="바탕" w:hAnsi="바탕" w:cs="바탕"/>
                <w:b/>
                <w:bCs/>
                <w:color w:val="000000"/>
                <w:kern w:val="0"/>
                <w:sz w:val="36"/>
                <w:szCs w:val="36"/>
              </w:rPr>
              <w:t>③</w:t>
            </w:r>
            <w:r w:rsidRPr="001265B7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]</w:t>
            </w:r>
            <w:proofErr w:type="spellStart"/>
            <w:r w:rsidRPr="001265B7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MDM</w:t>
            </w:r>
            <w:proofErr w:type="spellEnd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은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데이터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거버넌스</w:t>
            </w:r>
            <w:proofErr w:type="spellEnd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프로젝트</w:t>
            </w: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</w:pP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성공적인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proofErr w:type="spellStart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MDM</w:t>
            </w:r>
            <w:proofErr w:type="spellEnd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구축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위한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전문가들의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조언</w:t>
            </w: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8"/>
                <w:szCs w:val="18"/>
              </w:rPr>
            </w:pP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4950"/>
              <w:gridCol w:w="3540"/>
              <w:gridCol w:w="210"/>
            </w:tblGrid>
            <w:tr w:rsidR="001265B7" w:rsidRPr="001265B7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15" name="그림 15" descr="http://www.ciobiz.co.kr/image2006/default/newsdaybox_to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ciobiz.co.kr/image2006/default/newsdaybox_to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 xml:space="preserve">2010년 07월 18일 (일) </w:t>
                  </w:r>
                  <w:proofErr w:type="gramStart"/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21:45:27  </w:t>
                  </w:r>
                  <w:proofErr w:type="gramEnd"/>
                  <w:r>
                    <w:rPr>
                      <w:rFonts w:ascii="돋움" w:eastAsia="돋움" w:hAnsi="돋움" w:cs="굴림"/>
                      <w:noProof/>
                      <w:color w:val="0000FF"/>
                      <w:kern w:val="0"/>
                      <w:sz w:val="16"/>
                      <w:szCs w:val="16"/>
                    </w:rPr>
                    <w:drawing>
                      <wp:inline distT="0" distB="0" distL="0" distR="0">
                        <wp:extent cx="561975" cy="142875"/>
                        <wp:effectExtent l="19050" t="0" r="9525" b="0"/>
                        <wp:docPr id="16" name="그림 16" descr="http://www.ciobiz.co.kr/box/box_news/ico_pdf02.gif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ciobiz.co.kr/box/box_news/ico_pdf02.gif">
                                  <a:hlinkClick r:id="rId13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righ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proofErr w:type="spellStart"/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박현선기자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6"/>
                      <w:szCs w:val="16"/>
                    </w:rPr>
                    <w:t xml:space="preserve"> </w:t>
                  </w:r>
                  <w:hyperlink r:id="rId14" w:history="1">
                    <w:r w:rsidRPr="001265B7">
                      <w:rPr>
                        <w:rStyle w:val="a4"/>
                        <w:rFonts w:ascii="Verdana" w:eastAsia="굴림" w:hAnsi="Verdana" w:cs="굴림"/>
                        <w:noProof/>
                        <w:kern w:val="0"/>
                        <w:sz w:val="16"/>
                        <w:szCs w:val="16"/>
                      </w:rPr>
                      <w:drawing>
                        <wp:inline distT="0" distB="0" distL="0" distR="0">
                          <wp:extent cx="104775" cy="85725"/>
                          <wp:effectExtent l="19050" t="0" r="9525" b="0"/>
                          <wp:docPr id="17" name="그림 17" descr="http://www.ciobiz.co.kr/image2006/default/btn_sendmail.gif">
                            <a:hlinkClick xmlns:a="http://schemas.openxmlformats.org/drawingml/2006/main" r:id="rId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http://www.ciobiz.co.kr/image2006/default/btn_sendmail.gif">
                                    <a:hlinkClick r:id="rId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1265B7">
                      <w:rPr>
                        <w:rStyle w:val="a4"/>
                        <w:rFonts w:ascii="Arial" w:eastAsia="굴림" w:hAnsi="Arial" w:cs="Arial"/>
                        <w:kern w:val="0"/>
                        <w:sz w:val="16"/>
                      </w:rPr>
                      <w:t>hspark@etnews.co.kr</w:t>
                    </w:r>
                    <w:proofErr w:type="spellEnd"/>
                  </w:hyperlink>
                </w:p>
              </w:tc>
              <w:tc>
                <w:tcPr>
                  <w:tcW w:w="75" w:type="dxa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18" name="그림 18" descr="http://www.ciobiz.co.kr/image2006/default/newsdaybox_d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ciobiz.co.kr/image2006/default/newsdaybox_d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"/>
              <w:gridCol w:w="600"/>
            </w:tblGrid>
            <w:tr w:rsidR="001265B7" w:rsidRPr="001265B7" w:rsidTr="001265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pict/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pict/>
                  </w:r>
                </w:p>
              </w:tc>
            </w:tr>
          </w:tbl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기준정보관리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(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)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프로젝트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일각에서는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회의적인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시선도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보내고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기존에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전사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이라는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실제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기준정보였던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적은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없다며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이라는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자체가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환상이라는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지적도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부문별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기능별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선정하고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프로세스로의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연동은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불가능하다는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현실적인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어려움을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내포한다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전문가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들은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작업의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어려움보다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기준정보관리체계를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’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않았던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MDM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성공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사례를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찾아보기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어려운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이유라고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지적하고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끊임없이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발생하는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새로운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공급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새로운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부품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코드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계속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변화되는데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이러한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변화를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반영하지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않았다는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손을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놓아버렸기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결국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기준정보로서의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의미와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가치가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퇴색됐다는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설명이다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기존에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IT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관점에서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추진되었던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문제점은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유효성을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상대적으로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간과했다는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계속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변화된다는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사실을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간과했고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변경이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일어나는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과정에서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정확성을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지속적으로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담보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조직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기술적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뒷받침이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없었던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패인으로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지적되고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야심차게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추진한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성공적으로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운영되고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평가받는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곳은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몇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군데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불과하다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컨설팅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전문가들은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동부하이텍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코리아크레딧뷰로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(KCB), 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교보생명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성공사례로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꼽는다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성공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비결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지속적인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그리고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지속적인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조직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혹은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책임자가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이용우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오픈타이드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상무는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실시간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의사결정을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인프라를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아무리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갖춰놨다고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해도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정확하지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않으면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의미가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없다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지적하며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하면서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품질관리의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중요성이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함께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커지고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설명했다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바탕" w:eastAsia="바탕" w:hAnsi="바탕" w:cs="바탕"/>
                <w:b/>
                <w:bCs/>
                <w:color w:val="222222"/>
                <w:kern w:val="0"/>
                <w:sz w:val="21"/>
              </w:rPr>
              <w:lastRenderedPageBreak/>
              <w:t>◇</w:t>
            </w:r>
            <w:proofErr w:type="spellStart"/>
            <w:r w:rsidRPr="001265B7">
              <w:rPr>
                <w:rFonts w:ascii="Times New Roman" w:eastAsia="굴림" w:hAnsi="Times New Roman" w:cs="Times New Roman"/>
                <w:b/>
                <w:bCs/>
                <w:color w:val="222222"/>
                <w:kern w:val="0"/>
                <w:sz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은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철저한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비즈니스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 xml:space="preserve"> 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프로젝트</w:t>
            </w:r>
            <w:r w:rsidRPr="001265B7">
              <w:rPr>
                <w:rFonts w:ascii="gulim" w:eastAsia="굴림" w:hAnsi="gulim" w:cs="굴림"/>
                <w:b/>
                <w:bCs/>
                <w:color w:val="222222"/>
                <w:kern w:val="0"/>
                <w:sz w:val="21"/>
              </w:rPr>
              <w:t>=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거버넌스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확립되지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상태에서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오픈된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오픈된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시점부터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퇴락의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길을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걷는다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이진우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투이컨설팅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부사장은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전반적으로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성공을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못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거둔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관점에서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접근했기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이라고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심지어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이용우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오픈타이드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상무는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애플리케이션은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중요하지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고까지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단언한다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새로운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생산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공장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새로운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부품과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공급업체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새롭게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개발된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신제품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새로운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정보들은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늘어나는데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변화가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없다면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기준정보로서의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가치를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희석시키게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성공을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위해서는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총체적으로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접근하는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권한을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(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조직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)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마인드가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필요하다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이진우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투이컨설팅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부사장은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“DB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아키텍처가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오너가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필요하다는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이라고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설명한다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부서별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책임자와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보고받는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차원의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책임자가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필요하며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책임자는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내용과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가치를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파악하고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사람이어야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IT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주도여야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총괄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책임자는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최고정보책임자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(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CIO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)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내용과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연동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현업만큼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파악하고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이용우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오픈타이드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부사장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역시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잠재된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가치를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이끌어낼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’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거버넌스의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최고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책임자라고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동의한다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내용을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알고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활용을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결정할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권한이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사람이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책임자이자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이러한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책임자와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조직을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두는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기업만이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효과를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누릴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조직이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따라오지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IT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무의미하다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이용우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부사장은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모든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프로세스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혁신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경영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혁신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프로젝트에는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변화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관리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중요한데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상시적인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모니터링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변경되는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사항을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반영하는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조직이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필수라는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설명이다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담당자에게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추가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담당케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경우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사실상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후순위로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밀려나기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거버넌스가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우선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확립되어야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현업이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참여하는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추려내고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어떤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식으로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매칭시킬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것인지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합의를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도출하는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먼저다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애플리케이션을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도입하고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구현하는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작업은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작업과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사후의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상시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작업에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비하면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단순하다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삼성전자의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관심을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갖고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애플리케이션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업체들이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논의된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오래됐지만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패키지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도입은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빨라도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내년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초가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으로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짐작하고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무관하지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전문가들은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필요성을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경영진이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얼마나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이해하고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행동에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옮기려고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하느냐로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성숙도를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판가름할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지적한다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[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다시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주목받는</w:t>
            </w:r>
            <w:proofErr w:type="spellEnd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MDM</w:t>
            </w:r>
            <w:proofErr w:type="spellEnd"/>
            <w:r w:rsidRPr="001265B7">
              <w:rPr>
                <w:rFonts w:ascii="바탕" w:eastAsia="바탕" w:hAnsi="바탕" w:cs="바탕"/>
                <w:b/>
                <w:bCs/>
                <w:color w:val="000000"/>
                <w:kern w:val="0"/>
                <w:sz w:val="36"/>
                <w:szCs w:val="36"/>
              </w:rPr>
              <w:t>④</w:t>
            </w:r>
            <w:r w:rsidRPr="001265B7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]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데이터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품질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유지가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성패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좌우</w:t>
            </w: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</w:pP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기업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전사적인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문화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토대로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데이터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proofErr w:type="spellStart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품질관리</w:t>
            </w:r>
            <w:proofErr w:type="spellEnd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중요성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인식해야</w:t>
            </w: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8"/>
                <w:szCs w:val="18"/>
              </w:rPr>
            </w:pP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4950"/>
              <w:gridCol w:w="3540"/>
              <w:gridCol w:w="210"/>
            </w:tblGrid>
            <w:tr w:rsidR="001265B7" w:rsidRPr="001265B7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29" name="그림 29" descr="http://www.ciobiz.co.kr/image2006/default/newsdaybox_to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ciobiz.co.kr/image2006/default/newsdaybox_to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 xml:space="preserve">2010년 07월 18일 (일) </w:t>
                  </w:r>
                  <w:proofErr w:type="gramStart"/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21:45:18  </w:t>
                  </w:r>
                  <w:proofErr w:type="gramEnd"/>
                  <w:r>
                    <w:rPr>
                      <w:rFonts w:ascii="돋움" w:eastAsia="돋움" w:hAnsi="돋움" w:cs="굴림"/>
                      <w:noProof/>
                      <w:color w:val="0000FF"/>
                      <w:kern w:val="0"/>
                      <w:sz w:val="16"/>
                      <w:szCs w:val="16"/>
                    </w:rPr>
                    <w:drawing>
                      <wp:inline distT="0" distB="0" distL="0" distR="0">
                        <wp:extent cx="561975" cy="142875"/>
                        <wp:effectExtent l="19050" t="0" r="9525" b="0"/>
                        <wp:docPr id="30" name="그림 30" descr="http://www.ciobiz.co.kr/box/box_news/ico_pdf02.gif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ciobiz.co.kr/box/box_news/ico_pdf02.gif">
                                  <a:hlinkClick r:id="rId13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righ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proofErr w:type="spellStart"/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박현선기자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6"/>
                      <w:szCs w:val="16"/>
                    </w:rPr>
                    <w:t xml:space="preserve"> </w:t>
                  </w:r>
                  <w:hyperlink r:id="rId15" w:history="1">
                    <w:r w:rsidRPr="001265B7">
                      <w:rPr>
                        <w:rStyle w:val="a4"/>
                        <w:rFonts w:ascii="Verdana" w:eastAsia="굴림" w:hAnsi="Verdana" w:cs="굴림"/>
                        <w:noProof/>
                        <w:kern w:val="0"/>
                        <w:sz w:val="16"/>
                        <w:szCs w:val="16"/>
                      </w:rPr>
                      <w:drawing>
                        <wp:inline distT="0" distB="0" distL="0" distR="0">
                          <wp:extent cx="104775" cy="85725"/>
                          <wp:effectExtent l="19050" t="0" r="9525" b="0"/>
                          <wp:docPr id="31" name="그림 31" descr="http://www.ciobiz.co.kr/image2006/default/btn_sendmail.gif">
                            <a:hlinkClick xmlns:a="http://schemas.openxmlformats.org/drawingml/2006/main" r:id="rId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 descr="http://www.ciobiz.co.kr/image2006/default/btn_sendmail.gif">
                                    <a:hlinkClick r:id="rId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1265B7">
                      <w:rPr>
                        <w:rStyle w:val="a4"/>
                        <w:rFonts w:ascii="Arial" w:eastAsia="굴림" w:hAnsi="Arial" w:cs="Arial"/>
                        <w:kern w:val="0"/>
                        <w:sz w:val="16"/>
                      </w:rPr>
                      <w:t>hspark@etnews.co.kr</w:t>
                    </w:r>
                    <w:proofErr w:type="spellEnd"/>
                  </w:hyperlink>
                </w:p>
              </w:tc>
              <w:tc>
                <w:tcPr>
                  <w:tcW w:w="75" w:type="dxa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32" name="그림 32" descr="http://www.ciobiz.co.kr/image2006/default/newsdaybox_d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ciobiz.co.kr/image2006/default/newsdaybox_d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"/>
              <w:gridCol w:w="600"/>
            </w:tblGrid>
            <w:tr w:rsidR="001265B7" w:rsidRPr="001265B7" w:rsidTr="001265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pict/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pict/>
                  </w:r>
                </w:p>
              </w:tc>
            </w:tr>
          </w:tbl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전문가들은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기준정보관리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(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)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프로젝트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성공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좌우하는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바로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lastRenderedPageBreak/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품질이라고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입을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모은다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신뢰할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수준인가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사용자가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판단하게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검토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기업에서는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다수의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인력으로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구성된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태스크포스팀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구성을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계획하고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초기의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분석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및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선정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단계에서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현업이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지대하기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완료된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이후에도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현업의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업무는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계속된다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바로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품질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관리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품질관리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에서만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중요한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비즈니스인텔리전스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(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BI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),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컴플라이언스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거의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모든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전략에서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중요한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이슈가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신뢰할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전제하지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않고서는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성공은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담보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없다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아무리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뛰어난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실시간의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분석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기능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제공하는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BI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DW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솔루션이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하더라도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근간이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오류가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무용지물이다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/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거버넌스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이니셔티브의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하나로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다뤄지고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가트너는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의사결정에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영향을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미치기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기업들은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제한된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IT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자원으로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유지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방법을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고민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전제한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궁극적으로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IT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사업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부서에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관리되어야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IT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자원은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아무런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문제가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않는다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지적했다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문제는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많은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아시아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특히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종업원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100~999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명에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해당되는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중소기업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들이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문제를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비즈니스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이슈로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간주하지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덧붙였다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유지의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책임은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IT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몫으로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간주하고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엄청난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수준의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IT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노력이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지속적으로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소모되고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가트너는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및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중소기업들이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개선을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모든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보장하기보다는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단일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프로젝트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프로세스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혹은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특정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분야를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지정해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구현하는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현실적으로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최선의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방법이라고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조언하고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성공적으로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일부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중소기업들의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사례를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살펴보면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중요성을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비즈니스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자체에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깊숙이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투영시키고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함께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품질관리의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중요성에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인식이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전사적인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문화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토대로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형성돼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에릭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가트너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수석분석가에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따르면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거버넌스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및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출발점이며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각각의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프로세스는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경영진에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후원되어야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함께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프로세스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오너십을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사람은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원칙을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개발하고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도입을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책임질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관리자를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임명해야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기업정보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관리자는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원칙과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지표를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승인하는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역할도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수행하게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품질관리를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노력이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최대의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성과를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발휘하기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위해서는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영업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마케팅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서비스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생산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재무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IT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모든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주요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분야의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인원을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아우르는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구조에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품질관리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노력이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뒷받침되어야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가트너는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통제나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소유가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아니라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책임과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협업에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초점을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맞추고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있으며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정보자산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향상이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목표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라고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설명하고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[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다시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주목받는</w:t>
            </w:r>
            <w:proofErr w:type="spellEnd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MDM</w:t>
            </w:r>
            <w:proofErr w:type="spellEnd"/>
            <w:r w:rsidRPr="001265B7">
              <w:rPr>
                <w:rFonts w:ascii="바탕" w:eastAsia="바탕" w:hAnsi="바탕" w:cs="바탕"/>
                <w:b/>
                <w:bCs/>
                <w:color w:val="000000"/>
                <w:kern w:val="0"/>
                <w:sz w:val="36"/>
                <w:szCs w:val="36"/>
              </w:rPr>
              <w:t>②</w:t>
            </w:r>
            <w:r w:rsidRPr="001265B7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]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금융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, 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유통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, 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서비스업계도</w:t>
            </w:r>
            <w:proofErr w:type="spellEnd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준비해야</w:t>
            </w: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</w:pPr>
            <w:proofErr w:type="spellStart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주민번호</w:t>
            </w:r>
            <w:proofErr w:type="spellEnd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등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강력한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proofErr w:type="spellStart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기준정보</w:t>
            </w:r>
            <w:proofErr w:type="spellEnd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쓸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수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없어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마케팅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분석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차질</w:t>
            </w: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8"/>
                <w:szCs w:val="18"/>
              </w:rPr>
            </w:pP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4950"/>
              <w:gridCol w:w="3540"/>
              <w:gridCol w:w="210"/>
            </w:tblGrid>
            <w:tr w:rsidR="001265B7" w:rsidRPr="001265B7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41" name="그림 41" descr="http://www.ciobiz.co.kr/image2006/default/newsdaybox_to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ciobiz.co.kr/image2006/default/newsdaybox_to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 xml:space="preserve">2010년 07월 18일 (일) </w:t>
                  </w:r>
                  <w:proofErr w:type="gramStart"/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21:45:33  </w:t>
                  </w:r>
                  <w:proofErr w:type="gramEnd"/>
                  <w:r>
                    <w:rPr>
                      <w:rFonts w:ascii="돋움" w:eastAsia="돋움" w:hAnsi="돋움" w:cs="굴림"/>
                      <w:noProof/>
                      <w:color w:val="0000FF"/>
                      <w:kern w:val="0"/>
                      <w:sz w:val="16"/>
                      <w:szCs w:val="16"/>
                    </w:rPr>
                    <w:drawing>
                      <wp:inline distT="0" distB="0" distL="0" distR="0">
                        <wp:extent cx="561975" cy="142875"/>
                        <wp:effectExtent l="19050" t="0" r="9525" b="0"/>
                        <wp:docPr id="42" name="그림 42" descr="http://www.ciobiz.co.kr/box/box_news/ico_pdf02.gif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ciobiz.co.kr/box/box_news/ico_pdf02.gif">
                                  <a:hlinkClick r:id="rId6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righ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proofErr w:type="spellStart"/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박현선기자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6"/>
                      <w:szCs w:val="16"/>
                    </w:rPr>
                    <w:t xml:space="preserve"> </w:t>
                  </w:r>
                  <w:hyperlink r:id="rId16" w:history="1">
                    <w:r w:rsidRPr="001265B7">
                      <w:rPr>
                        <w:rStyle w:val="a4"/>
                        <w:rFonts w:ascii="Verdana" w:eastAsia="굴림" w:hAnsi="Verdana" w:cs="굴림"/>
                        <w:noProof/>
                        <w:kern w:val="0"/>
                        <w:sz w:val="16"/>
                        <w:szCs w:val="16"/>
                      </w:rPr>
                      <w:drawing>
                        <wp:inline distT="0" distB="0" distL="0" distR="0">
                          <wp:extent cx="104775" cy="85725"/>
                          <wp:effectExtent l="19050" t="0" r="9525" b="0"/>
                          <wp:docPr id="43" name="그림 43" descr="http://www.ciobiz.co.kr/image2006/default/btn_sendmail.gif">
                            <a:hlinkClick xmlns:a="http://schemas.openxmlformats.org/drawingml/2006/main" r:id="rId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 descr="http://www.ciobiz.co.kr/image2006/default/btn_sendmail.gif">
                                    <a:hlinkClick r:id="rId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1265B7">
                      <w:rPr>
                        <w:rStyle w:val="a4"/>
                        <w:rFonts w:ascii="Arial" w:eastAsia="굴림" w:hAnsi="Arial" w:cs="Arial"/>
                        <w:kern w:val="0"/>
                        <w:sz w:val="16"/>
                      </w:rPr>
                      <w:t>hspark@etnews.co.kr</w:t>
                    </w:r>
                    <w:proofErr w:type="spellEnd"/>
                  </w:hyperlink>
                </w:p>
              </w:tc>
              <w:tc>
                <w:tcPr>
                  <w:tcW w:w="75" w:type="dxa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44" name="그림 44" descr="http://www.ciobiz.co.kr/image2006/default/newsdaybox_d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ciobiz.co.kr/image2006/default/newsdaybox_d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"/>
              <w:gridCol w:w="600"/>
            </w:tblGrid>
            <w:tr w:rsidR="001265B7" w:rsidRPr="001265B7" w:rsidTr="001265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pict/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pict/>
                  </w:r>
                </w:p>
              </w:tc>
            </w:tr>
          </w:tbl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기준정보관리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(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)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지금까지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제조업체들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중심의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관심사였다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공급망에서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구매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수급해야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부품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부품을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이용해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제품을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생산해야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공장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주문부터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대금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지불까지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코드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’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뜻이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전달되기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지금까지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논외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지역이었던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금융권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인터넷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서비스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유통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업체들도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새로운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시장이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기대를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모으고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금융권과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인터넷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서비스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그동안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사용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왔던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강력한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사용할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없게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되면서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검토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보인다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강력한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바로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주민등록번호다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3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28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일부터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인터넷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포털과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쇼핑몰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1039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주요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웹사이트는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주민등록번호를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이용하지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않고도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이용자들이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회원으로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가입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방법을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제공해야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아이핀이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본인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인증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수단으로서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등장했다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2015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년에는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인터넷에서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주민등록번호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사용이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금지된다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주민등록번호를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인터넷에서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사용할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없을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경우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사용자는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아이핀을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사용해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본인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인증을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서비스를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사용하면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되지만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서비스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업체들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혹은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유통업체들의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인터넷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사이트에서는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분석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의거한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마케팅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분석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프로모션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유효성을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담보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없게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현재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분석되고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회원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동일인에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것인지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확신할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없기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예를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들어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일주일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면세점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명품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가방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구매한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고객이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백화점에서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유관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제품을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구매했다면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종류의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구매자가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동일인이라는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증명할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행위가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연관성이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있음을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판단할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근거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무엇이냐는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금융권은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물론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유통과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인터넷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서비스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업계에도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중요성이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곧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파급될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기대되고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[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다시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주목받는</w:t>
            </w:r>
            <w:proofErr w:type="spellEnd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MDM</w:t>
            </w:r>
            <w:proofErr w:type="spellEnd"/>
            <w:r w:rsidRPr="001265B7">
              <w:rPr>
                <w:rFonts w:ascii="바탕" w:eastAsia="바탕" w:hAnsi="바탕" w:cs="바탕"/>
                <w:b/>
                <w:bCs/>
                <w:color w:val="000000"/>
                <w:kern w:val="0"/>
                <w:sz w:val="36"/>
                <w:szCs w:val="36"/>
              </w:rPr>
              <w:t>⑤</w:t>
            </w:r>
            <w:r w:rsidRPr="001265B7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]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메타데이터관리와</w:t>
            </w:r>
            <w:proofErr w:type="spellEnd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MDM</w:t>
            </w:r>
            <w:proofErr w:type="spellEnd"/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265B7">
              <w:rPr>
                <w:rFonts w:ascii="dotum" w:eastAsia="굴림" w:hAnsi="dotum" w:cs="굴림"/>
                <w:b/>
                <w:bCs/>
                <w:color w:val="000000"/>
                <w:kern w:val="0"/>
                <w:sz w:val="36"/>
                <w:szCs w:val="36"/>
              </w:rPr>
              <w:t>차이</w:t>
            </w: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</w:pPr>
            <w:proofErr w:type="spellStart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MDM</w:t>
            </w:r>
            <w:proofErr w:type="spellEnd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을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위해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먼저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proofErr w:type="spellStart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메타데이터</w:t>
            </w:r>
            <w:proofErr w:type="spellEnd"/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수집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 xml:space="preserve"> </w:t>
            </w:r>
            <w:r w:rsidRPr="001265B7">
              <w:rPr>
                <w:rFonts w:ascii="woorisaebomB" w:eastAsia="굴림" w:hAnsi="woorisaebomB" w:cs="굴림"/>
                <w:color w:val="666666"/>
                <w:kern w:val="0"/>
                <w:sz w:val="22"/>
              </w:rPr>
              <w:t>필요</w:t>
            </w: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8"/>
                <w:szCs w:val="18"/>
              </w:rPr>
            </w:pP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3377"/>
              <w:gridCol w:w="5113"/>
              <w:gridCol w:w="210"/>
            </w:tblGrid>
            <w:tr w:rsidR="001265B7" w:rsidRPr="001265B7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53" name="그림 53" descr="http://www.ciobiz.co.kr/image2006/default/newsdaybox_to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ciobiz.co.kr/image2006/default/newsdaybox_to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2010년 07월 19일 (월) 11:54:40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righ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proofErr w:type="spellStart"/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에릭</w:t>
                  </w:r>
                  <w:proofErr w:type="spellEnd"/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 xml:space="preserve"> 뚜 </w:t>
                  </w:r>
                  <w:proofErr w:type="spellStart"/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가트너</w:t>
                  </w:r>
                  <w:proofErr w:type="spellEnd"/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265B7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수석분석가</w:t>
                  </w:r>
                  <w:proofErr w:type="spellEnd"/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6"/>
                      <w:szCs w:val="16"/>
                    </w:rPr>
                    <w:t xml:space="preserve"> </w:t>
                  </w:r>
                  <w:hyperlink r:id="rId17" w:history="1">
                    <w:r w:rsidRPr="001265B7">
                      <w:rPr>
                        <w:rStyle w:val="a4"/>
                        <w:rFonts w:ascii="Verdana" w:eastAsia="굴림" w:hAnsi="Verdana" w:cs="굴림"/>
                        <w:noProof/>
                        <w:kern w:val="0"/>
                        <w:sz w:val="16"/>
                        <w:szCs w:val="16"/>
                      </w:rPr>
                      <w:drawing>
                        <wp:inline distT="0" distB="0" distL="0" distR="0">
                          <wp:extent cx="104775" cy="85725"/>
                          <wp:effectExtent l="19050" t="0" r="9525" b="0"/>
                          <wp:docPr id="54" name="그림 54" descr="http://www.ciobiz.co.kr/image2006/default/btn_sendmail.gif">
                            <a:hlinkClick xmlns:a="http://schemas.openxmlformats.org/drawingml/2006/main" r:id="rId1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4" descr="http://www.ciobiz.co.kr/image2006/default/btn_sendmail.gif">
                                    <a:hlinkClick r:id="rId1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1265B7">
                      <w:rPr>
                        <w:rStyle w:val="a4"/>
                        <w:rFonts w:ascii="Arial" w:eastAsia="굴림" w:hAnsi="Arial" w:cs="Arial"/>
                        <w:kern w:val="0"/>
                        <w:sz w:val="16"/>
                      </w:rPr>
                      <w:t>eric.thoo@gartner.com</w:t>
                    </w:r>
                    <w:proofErr w:type="spellEnd"/>
                  </w:hyperlink>
                </w:p>
              </w:tc>
              <w:tc>
                <w:tcPr>
                  <w:tcW w:w="75" w:type="dxa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55" name="그림 55" descr="http://www.ciobiz.co.kr/image2006/default/newsdaybox_d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ciobiz.co.kr/image2006/default/newsdaybox_d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5B7" w:rsidRPr="001265B7" w:rsidRDefault="001265B7" w:rsidP="001265B7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</w:p>
        </w:tc>
      </w:tr>
      <w:tr w:rsidR="001265B7" w:rsidRPr="001265B7" w:rsidTr="001265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"/>
              <w:gridCol w:w="600"/>
            </w:tblGrid>
            <w:tr w:rsidR="001265B7" w:rsidRPr="001265B7" w:rsidTr="001265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5B7" w:rsidRPr="001265B7" w:rsidRDefault="001265B7" w:rsidP="001265B7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pict/>
                  </w:r>
                  <w:r w:rsidRPr="001265B7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pict/>
                  </w:r>
                </w:p>
              </w:tc>
            </w:tr>
          </w:tbl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마스터데이터관리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(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)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우리말로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옮겨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기준정보관리라고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데이터관리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와도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종종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혼동되곤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메타데이터라는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역시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이해할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그러나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으로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통칭하는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마스터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기준정보는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구분돼야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쉽게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말해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구성하는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실제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MDM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위해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먼저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수집해야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통합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뿐만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아니라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고객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제품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공급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업체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의미를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이해하기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위해서는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경험이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집적된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요구된다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가트너는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특정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정보자산의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여러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측면을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기술하여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수명주기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전반에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걸쳐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유용성을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개선하기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’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로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정의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자산으로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만들어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주는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바로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메타데이터다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일반적으로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자산의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가치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높을수록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더욱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중요해진다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정의를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이해함으로써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가치가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발현되기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때문이다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저장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소는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메타데이터를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저장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데이터베이스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관리하고자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자산이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가공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형태로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저장돼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이러한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보관소는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분석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즉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영향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분석이나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계보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(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)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분석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기록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·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·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실행하는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사용된다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lastRenderedPageBreak/>
              <w:t>여타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마찬가지로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역시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그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가치를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발현하기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위해서는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적절한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요구한다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주는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가치에는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규제준수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실태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및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지배구조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미치는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혁신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효과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평가능력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개선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포함된다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대한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거버넌스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(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지배구조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)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혼란으로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인한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위험을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피하기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필수적이다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많은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기업들이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기업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관련해서는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사용에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규제나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방침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프로세스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확립하고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반해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메타데이터에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관해서는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그렇지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않다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메타데이터가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누구의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소유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언제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변경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가능한지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명확히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일부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메터데이터의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경우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이를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저장하거나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공개할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의무를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지는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기업에게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법적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위험을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초래할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수도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있다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개인정보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어떤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메타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데이터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얼마나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오래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저장할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것인가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하는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문제는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직접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감독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해야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부분이다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  <w:p w:rsidR="001265B7" w:rsidRPr="001265B7" w:rsidRDefault="001265B7" w:rsidP="001265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</w:pP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메타데이터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자산의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통합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공유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조정과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같이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능력의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보다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넓은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영역에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영향을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미친다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.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메터데이터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관리는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Cambria Math" w:eastAsia="굴림" w:hAnsi="Cambria Math" w:cs="Cambria Math"/>
                <w:color w:val="222222"/>
                <w:kern w:val="0"/>
                <w:sz w:val="21"/>
                <w:szCs w:val="21"/>
              </w:rPr>
              <w:t>△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전달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능력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Cambria Math" w:eastAsia="굴림" w:hAnsi="Cambria Math" w:cs="Cambria Math"/>
                <w:color w:val="222222"/>
                <w:kern w:val="0"/>
                <w:sz w:val="21"/>
                <w:szCs w:val="21"/>
              </w:rPr>
              <w:t>△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3D46A8"/>
                <w:kern w:val="0"/>
                <w:sz w:val="21"/>
                <w:szCs w:val="21"/>
                <w:u w:val="single"/>
              </w:rPr>
              <w:t>신뢰성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확립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능력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Cambria Math" w:eastAsia="굴림" w:hAnsi="Cambria Math" w:cs="Cambria Math"/>
                <w:color w:val="222222"/>
                <w:kern w:val="0"/>
                <w:sz w:val="21"/>
                <w:szCs w:val="21"/>
              </w:rPr>
              <w:t>△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기업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정보를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식별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, </w:t>
            </w:r>
            <w:proofErr w:type="spellStart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파악해내는</w:t>
            </w:r>
            <w:proofErr w:type="spellEnd"/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능력이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 xml:space="preserve"> 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요구된다</w:t>
            </w:r>
            <w:r w:rsidRPr="001265B7">
              <w:rPr>
                <w:rFonts w:ascii="gulim" w:eastAsia="굴림" w:hAnsi="gulim" w:cs="굴림"/>
                <w:color w:val="222222"/>
                <w:kern w:val="0"/>
                <w:sz w:val="21"/>
                <w:szCs w:val="21"/>
              </w:rPr>
              <w:t>.</w:t>
            </w:r>
          </w:p>
        </w:tc>
      </w:tr>
    </w:tbl>
    <w:p w:rsidR="001A229E" w:rsidRPr="001265B7" w:rsidRDefault="001A229E" w:rsidP="001265B7"/>
    <w:sectPr w:rsidR="001A229E" w:rsidRPr="001265B7" w:rsidSect="001A22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oorisaebom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우리새봄R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24CE8"/>
    <w:multiLevelType w:val="hybridMultilevel"/>
    <w:tmpl w:val="6C80D31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D550E"/>
    <w:rsid w:val="001265B7"/>
    <w:rsid w:val="001A229E"/>
    <w:rsid w:val="00290EED"/>
    <w:rsid w:val="00DD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9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0E"/>
    <w:pPr>
      <w:ind w:leftChars="400" w:left="800"/>
    </w:pPr>
  </w:style>
  <w:style w:type="character" w:styleId="a4">
    <w:name w:val="Hyperlink"/>
    <w:basedOn w:val="a0"/>
    <w:uiPriority w:val="99"/>
    <w:unhideWhenUsed/>
    <w:rsid w:val="001265B7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unhideWhenUsed/>
    <w:rsid w:val="001265B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265B7"/>
    <w:rPr>
      <w:b/>
      <w:bCs/>
    </w:rPr>
  </w:style>
  <w:style w:type="paragraph" w:customStyle="1" w:styleId="a7">
    <w:name w:val="바탕글"/>
    <w:basedOn w:val="a"/>
    <w:rsid w:val="001265B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Balloon Text"/>
    <w:basedOn w:val="a"/>
    <w:link w:val="Char"/>
    <w:uiPriority w:val="99"/>
    <w:semiHidden/>
    <w:unhideWhenUsed/>
    <w:rsid w:val="00126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126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obiz.co.kr/news/mailto.html?mail=hspark@etnews.co.kr" TargetMode="External"/><Relationship Id="rId13" Type="http://schemas.openxmlformats.org/officeDocument/2006/relationships/hyperlink" Target="http://www.ciobiz.co.kr/pdf/check.php?fd=68&amp;dnfile=04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hspark@etnews.co.kr" TargetMode="External"/><Relationship Id="rId17" Type="http://schemas.openxmlformats.org/officeDocument/2006/relationships/hyperlink" Target="http://www.ciobiz.co.kr/news/mailto.html?mail=eric.thoo@gartn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obiz.co.kr/news/mailto.html?mail=hspark@etnews.co.k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obiz.co.kr/pdf/check.php?fd=68&amp;dnfile=01.pdf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gif"/><Relationship Id="rId15" Type="http://schemas.openxmlformats.org/officeDocument/2006/relationships/hyperlink" Target="http://www.ciobiz.co.kr/news/mailto.html?mail=hspark@etnews.co.kr" TargetMode="Externa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ciobiz.co.kr/news/mailto.html?mail=hspark@etnews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CJINTERNET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이재학</dc:creator>
  <cp:keywords/>
  <dc:description/>
  <cp:lastModifiedBy>이재학</cp:lastModifiedBy>
  <cp:revision>1</cp:revision>
  <dcterms:created xsi:type="dcterms:W3CDTF">2010-07-19T00:45:00Z</dcterms:created>
  <dcterms:modified xsi:type="dcterms:W3CDTF">2010-07-19T04:12:00Z</dcterms:modified>
</cp:coreProperties>
</file>